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11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11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 LICEO CLASSICO E LINGUISTICO STATALE “F. PETRARCA” - TRIESTE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Il / </w:t>
      </w:r>
      <w:r w:rsidDel="00000000" w:rsidR="00000000" w:rsidRPr="00000000">
        <w:rPr>
          <w:rFonts w:ascii="Arial" w:cs="Arial" w:eastAsia="Arial" w:hAnsi="Arial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sottoscritt</w:t>
      </w:r>
      <w:r w:rsidDel="00000000" w:rsidR="00000000" w:rsidRPr="00000000">
        <w:rPr>
          <w:rFonts w:ascii="Arial" w:cs="Arial" w:eastAsia="Arial" w:hAnsi="Arial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COGNOME E 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servizio in qualità di docente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 tempo indeterminato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fruire di: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FESTIVIT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À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 xml:space="preserve">dal _______________ al ________________ = GG 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(art. 14 C.C.N.L. – gg. 4)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PERMESSO RETRIBUITO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2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(art. 15 C.C.N.L.)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concorsi / esami   ( gg. 8)</w:t>
        <w:tab/>
        <w:tab/>
        <w:t xml:space="preserve">dal ________________ al _________________ = GG  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lutti   (gg. 3 per evento)</w:t>
        <w:tab/>
        <w:tab/>
        <w:tab/>
        <w:t xml:space="preserve">dal ________________ al _________________ = GG  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motivi personali / familiari    (gg.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dal ________________ al _________________ = GG 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PERMESSO BREVE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il giorno    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(max 2 ore nel giorno – docenti)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dalle ore ________________ alle ore ________________ = ore _______</w:t>
        <w:br w:type="textWrapping"/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29" w:right="0" w:firstLine="6.00000000000022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saranno recuperate il giorno: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quando verrà richiesto dall’amministrazione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29" w:right="0" w:firstLine="6.00000000000022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MOTIVAZIONI EVENTUALI :</w:t>
      </w:r>
      <w:r w:rsidDel="00000000" w:rsidR="00000000" w:rsidRPr="00000000">
        <w:rPr>
          <w:rFonts w:ascii="Arial" w:cs="Arial" w:eastAsia="Arial" w:hAnsi="Arial"/>
          <w:rtl w:val="0"/>
        </w:rPr>
        <w:t xml:space="preserve">  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Trieste,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 dipendente: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COGNOME E 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VISTA la domanda dell’interessato/a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CONCEDE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NON SI CONCEDE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per _________________________________________________________________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08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Il Dirigente scolastico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08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(Cesira Militello)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sensi del comma 9 dell’art. 13 del C.C.N.L. si rammenta ai richiedenti, che durante l’attività didattica è consentita la fruizione di un periodo non superiore alle 6 giornate lavorative, e che la fruibilità dei predetti sei giorni è subordinata alla condizione che non vengano a determinarsi oneri aggiuntivi a carico dell’amministrazione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850.3937007874016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