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</w:rPr>
        <w:drawing>
          <wp:inline distB="0" distT="0" distL="114300" distR="114300">
            <wp:extent cx="492125" cy="53911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539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Liceo Classico e Linguistico con Sezione Ospedaliera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“Francesco Petrarca”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34139 TRIESTE - Via D. Rossetti, 74 -  tel.: 040 390202   fax: 040 3798971 - C.F. 80019940321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scrivici@liceopetrarcats.it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pec: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tspc02000n@pec.istruzione.it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sito web: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www.liceopetrarcats.edu.it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sz w:val="52"/>
          <w:szCs w:val="52"/>
          <w:rtl w:val="0"/>
        </w:rPr>
        <w:t xml:space="preserve">ANNO SCOLASTICO ………………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b w:val="1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sz w:val="52"/>
          <w:szCs w:val="52"/>
          <w:rtl w:val="0"/>
        </w:rPr>
        <w:t xml:space="preserve">PROGETTAZIONE 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b w:val="1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sz w:val="52"/>
          <w:szCs w:val="52"/>
          <w:rtl w:val="0"/>
        </w:rPr>
        <w:t xml:space="preserve">DEL DIPARTIMENTO DI ……………………………..</w:t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sz w:val="52"/>
          <w:szCs w:val="52"/>
          <w:rtl w:val="0"/>
        </w:rPr>
        <w:t xml:space="preserve">PRIMO BIENNIO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sz w:val="52"/>
          <w:szCs w:val="52"/>
          <w:rtl w:val="0"/>
        </w:rPr>
        <w:t xml:space="preserve">SECONDO BIENNIO e ULTIMO ANNO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PRIMO BIENNIO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before="30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Materie e docenti: 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0.0" w:type="dxa"/>
        <w:tblLayout w:type="fixed"/>
        <w:tblLook w:val="0000"/>
      </w:tblPr>
      <w:tblGrid>
        <w:gridCol w:w="4959"/>
        <w:gridCol w:w="4678"/>
        <w:tblGridChange w:id="0">
          <w:tblGrid>
            <w:gridCol w:w="4959"/>
            <w:gridCol w:w="4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Docente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540"/>
        </w:tabs>
        <w:ind w:left="426" w:hanging="852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1.</w:t>
        <w:tab/>
        <w:tab/>
        <w:t xml:space="preserve">La normativa di riferimento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Raccomandazione del Parlamento europeo e del Consiglio 18 dicembre 2006 relativa a competenze chiave per l’apprendimento permanente;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D.M. 22 agosto 2007 n. 139 – Regolamento recante norme in materia di adempimento dell’obbligo di istruzione;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Linee Guida per l’obbligo di istruzione pubblicate in data 21 dicembre 2007, ai sensi del D.M. 22 agosto 2007 n. 139 art. 5 c. 1;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D.M. 27 gennaio 2010 n. 9 – certificato delle competenze di base acquisite nell’assolvimento dell’obbligo di istruzione;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Indicazioni per la certificazione delle competenze relative all’assolvimento dell’obbligo di istruzione nella scuola secondaria superiore allegate alla nota MIUR prot. 1208 del 12/4/2010;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D.P.R. 15 marzo 2010 n. 89 – Regolamento recante “Revisione dell’assetto ordinamentale, organizzativo e didattico dei licei”;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pos="900"/>
        </w:tabs>
        <w:ind w:left="1262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D.I. 7 ottobre 2010 n. 211 – Schema di Regolamento recante Indicazioni Nazionali riguardanti gli obiettivi specifici di apprendimento concernenti le attività e gli insegnamenti compresi nei piani di studio previsti per i percorsi liceali.</w:t>
      </w:r>
    </w:p>
    <w:p w:rsidR="00000000" w:rsidDel="00000000" w:rsidP="00000000" w:rsidRDefault="00000000" w:rsidRPr="00000000" w14:paraId="00000035">
      <w:pPr>
        <w:tabs>
          <w:tab w:val="left" w:pos="900"/>
        </w:tabs>
        <w:ind w:left="902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900"/>
        </w:tabs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Per il PECUP (Profilo Educativo, Culturale e Professionale dello studente) al termine del ciclo di studi si rimanda all’allegato A al D.P.R. 15 marzo 2010 n. 89.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540"/>
        </w:tabs>
        <w:ind w:left="567" w:hanging="993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2. </w:t>
        <w:tab/>
        <w:t xml:space="preserve">Competenze chiave di cittadinanza e discipline che le perseguono</w:t>
      </w:r>
    </w:p>
    <w:p w:rsidR="00000000" w:rsidDel="00000000" w:rsidP="00000000" w:rsidRDefault="00000000" w:rsidRPr="00000000" w14:paraId="0000003A">
      <w:pPr>
        <w:tabs>
          <w:tab w:val="left" w:pos="540"/>
        </w:tabs>
        <w:ind w:left="-18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0.0" w:type="dxa"/>
        <w:tblLayout w:type="fixed"/>
        <w:tblLook w:val="0000"/>
      </w:tblPr>
      <w:tblGrid>
        <w:gridCol w:w="5362"/>
        <w:gridCol w:w="4275"/>
        <w:tblGridChange w:id="0">
          <w:tblGrid>
            <w:gridCol w:w="5362"/>
            <w:gridCol w:w="42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Competenze chiave di cittadinanza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Imparare ad imparare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Comunicare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Collaborare e partecipare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Agire in modo autonomo e 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Risolvere problemi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Individuare collegamenti e relazioni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Acquisire ed interpretare l’informazione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pos="540"/>
        </w:tabs>
        <w:ind w:left="567" w:hanging="993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3.</w:t>
        <w:tab/>
        <w:t xml:space="preserve">Indicazioni: valori, criteri metodologici, esperienze fondamentali e passi più rilevanti del cammino proposto dalla scuola per perseguire le mete previste dal PECUP (Profilo Educativo, Culturale e Professionale dello studente)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nel primo biennio</w:t>
      </w:r>
    </w:p>
    <w:p w:rsidR="00000000" w:rsidDel="00000000" w:rsidP="00000000" w:rsidRDefault="00000000" w:rsidRPr="00000000" w14:paraId="0000004E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540"/>
        </w:tabs>
        <w:ind w:left="567" w:hanging="993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4. </w:t>
        <w:tab/>
        <w:t xml:space="preserve">Competenze di asse e conoscenze, distinte per disciplina e per anno, perseguite nel primo biennio</w:t>
      </w:r>
    </w:p>
    <w:p w:rsidR="00000000" w:rsidDel="00000000" w:rsidP="00000000" w:rsidRDefault="00000000" w:rsidRPr="00000000" w14:paraId="00000052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center"/>
        <w:tblLayout w:type="fixed"/>
        <w:tblLook w:val="0000"/>
      </w:tblPr>
      <w:tblGrid>
        <w:gridCol w:w="1407"/>
        <w:gridCol w:w="1162"/>
        <w:gridCol w:w="728"/>
        <w:gridCol w:w="1447"/>
        <w:gridCol w:w="4894"/>
        <w:tblGridChange w:id="0">
          <w:tblGrid>
            <w:gridCol w:w="1407"/>
            <w:gridCol w:w="1162"/>
            <w:gridCol w:w="728"/>
            <w:gridCol w:w="1447"/>
            <w:gridCol w:w="489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Competenze relative all’asse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Saperi essenziali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Compiti di realtà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/Esempi di compiti di realtà e prodotti di UdA interdisciplinari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pos="900"/>
              </w:tabs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pos="900"/>
              </w:tabs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tabs>
                <w:tab w:val="left" w:pos="900"/>
              </w:tabs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pos="900"/>
              </w:tabs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tabs>
                <w:tab w:val="left" w:pos="900"/>
              </w:tabs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</w:p>
    <w:p w:rsidR="00000000" w:rsidDel="00000000" w:rsidP="00000000" w:rsidRDefault="00000000" w:rsidRPr="00000000" w14:paraId="00000073">
      <w:pPr>
        <w:tabs>
          <w:tab w:val="left" w:pos="540"/>
        </w:tabs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540"/>
        </w:tabs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5.</w:t>
        <w:tab/>
        <w:t xml:space="preserve">Insegnamento di Educazione civica nel primo biennio</w:t>
      </w:r>
    </w:p>
    <w:p w:rsidR="00000000" w:rsidDel="00000000" w:rsidP="00000000" w:rsidRDefault="00000000" w:rsidRPr="00000000" w14:paraId="00000076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6. </w:t>
        <w:tab/>
        <w:t xml:space="preserve">Eventuali specifiche relative all’attuazione della Didattica Digitale Integrata</w:t>
      </w:r>
    </w:p>
    <w:p w:rsidR="00000000" w:rsidDel="00000000" w:rsidP="00000000" w:rsidRDefault="00000000" w:rsidRPr="00000000" w14:paraId="00000079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284"/>
        </w:tabs>
        <w:ind w:left="426" w:hanging="966"/>
        <w:rPr>
          <w:rFonts w:ascii="Verdana" w:cs="Verdana" w:eastAsia="Verdana" w:hAnsi="Verdana"/>
          <w:b w:val="1"/>
        </w:rPr>
      </w:pPr>
      <w:bookmarkStart w:colFirst="0" w:colLast="0" w:name="_30j0zll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7.     Unità di Apprendimento e/o percorsi integrati tra materie prevalenti e concorrenti dello stesso asse oppure tra assi differenti, da proporre ai CdC :</w:t>
      </w:r>
    </w:p>
    <w:p w:rsidR="00000000" w:rsidDel="00000000" w:rsidP="00000000" w:rsidRDefault="00000000" w:rsidRPr="00000000" w14:paraId="0000007D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</w:p>
    <w:p w:rsidR="00000000" w:rsidDel="00000000" w:rsidP="00000000" w:rsidRDefault="00000000" w:rsidRPr="00000000" w14:paraId="0000007E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540"/>
        </w:tabs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8. </w:t>
        <w:tab/>
        <w:t xml:space="preserve">Strumenti di valutazione</w:t>
      </w:r>
    </w:p>
    <w:p w:rsidR="00000000" w:rsidDel="00000000" w:rsidP="00000000" w:rsidRDefault="00000000" w:rsidRPr="00000000" w14:paraId="00000083">
      <w:pPr>
        <w:tabs>
          <w:tab w:val="left" w:pos="108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1080"/>
        </w:tabs>
        <w:ind w:left="540" w:hanging="10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(test d’ingresso di asse, prove interdisciplinari, verifiche al termine delle UdA, prove di competenza, prove disciplinari, prodotti degli studenti individuali o di gruppo, altro)</w:t>
      </w:r>
    </w:p>
    <w:p w:rsidR="00000000" w:rsidDel="00000000" w:rsidP="00000000" w:rsidRDefault="00000000" w:rsidRPr="00000000" w14:paraId="00000085">
      <w:pPr>
        <w:tabs>
          <w:tab w:val="left" w:pos="1080"/>
        </w:tabs>
        <w:ind w:left="540" w:hanging="108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pos="1080"/>
        </w:tabs>
        <w:ind w:left="540" w:hanging="1080"/>
        <w:rPr/>
      </w:pPr>
      <w:r w:rsidDel="00000000" w:rsidR="00000000" w:rsidRPr="00000000">
        <w:rPr>
          <w:rtl w:val="0"/>
        </w:rPr>
        <w:t xml:space="preserve">                  ……………………………………….</w:t>
      </w:r>
    </w:p>
    <w:p w:rsidR="00000000" w:rsidDel="00000000" w:rsidP="00000000" w:rsidRDefault="00000000" w:rsidRPr="00000000" w14:paraId="00000087">
      <w:pPr>
        <w:tabs>
          <w:tab w:val="left" w:pos="1080"/>
        </w:tabs>
        <w:ind w:left="540" w:hanging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1080"/>
        </w:tabs>
        <w:ind w:left="540" w:hanging="10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Le griglie di valutazione sono allegate alla presente progettazione.</w:t>
      </w:r>
    </w:p>
    <w:p w:rsidR="00000000" w:rsidDel="00000000" w:rsidP="00000000" w:rsidRDefault="00000000" w:rsidRPr="00000000" w14:paraId="00000089">
      <w:pPr>
        <w:tabs>
          <w:tab w:val="left" w:pos="540"/>
        </w:tabs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9.</w:t>
        <w:tab/>
        <w:t xml:space="preserve">Valutazione delle competenze acquisite (rubriche)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180"/>
        </w:tabs>
        <w:ind w:left="540" w:hanging="90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Indicatori e descrittori dei livelli di conseguimento delle competenze da utilizzare per le prove di competenza e/o valutazioni finali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0.0" w:type="dxa"/>
        <w:tblLayout w:type="fixed"/>
        <w:tblLook w:val="0000"/>
      </w:tblPr>
      <w:tblGrid>
        <w:gridCol w:w="2184"/>
        <w:gridCol w:w="1525"/>
        <w:gridCol w:w="1825"/>
        <w:gridCol w:w="1800"/>
        <w:gridCol w:w="2304"/>
        <w:tblGridChange w:id="0">
          <w:tblGrid>
            <w:gridCol w:w="2184"/>
            <w:gridCol w:w="1525"/>
            <w:gridCol w:w="1825"/>
            <w:gridCol w:w="1800"/>
            <w:gridCol w:w="230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Competenze di 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Indicatori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Descrittori dei livelli e punteggi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Avanzato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left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left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left"/>
        <w:rPr>
          <w:rFonts w:ascii="Verdana" w:cs="Verdana" w:eastAsia="Verdana" w:hAnsi="Verdana"/>
          <w:b w:val="1"/>
          <w:u w:val="single"/>
        </w:rPr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SECONDO BIENNIO E ULTIMO ANNO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0" w:before="30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Materie e docenti: </w:t>
      </w:r>
    </w:p>
    <w:p w:rsidR="00000000" w:rsidDel="00000000" w:rsidP="00000000" w:rsidRDefault="00000000" w:rsidRPr="00000000" w14:paraId="000000D3">
      <w:pPr>
        <w:spacing w:after="0" w:before="30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Ind w:w="0.0" w:type="dxa"/>
        <w:tblLayout w:type="fixed"/>
        <w:tblLook w:val="0000"/>
      </w:tblPr>
      <w:tblGrid>
        <w:gridCol w:w="5235"/>
        <w:gridCol w:w="4402"/>
        <w:tblGridChange w:id="0">
          <w:tblGrid>
            <w:gridCol w:w="5235"/>
            <w:gridCol w:w="44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Docente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540"/>
        </w:tabs>
        <w:ind w:hanging="54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1.</w:t>
        <w:tab/>
        <w:tab/>
        <w:t xml:space="preserve">La normativa di riferimento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tabs>
          <w:tab w:val="left" w:pos="567"/>
        </w:tabs>
        <w:ind w:left="567" w:hanging="14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Raccomandazione del Parlamento europeo e del Consiglio 18 dicembre 2006 relativa alle competenze chiave per l’apprendimento permanente;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tabs>
          <w:tab w:val="left" w:pos="567"/>
        </w:tabs>
        <w:ind w:left="567" w:hanging="14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Decreto Legislativo 14 gennaio 2008, n. 21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- </w:t>
      </w:r>
      <w:r w:rsidDel="00000000" w:rsidR="00000000" w:rsidRPr="00000000">
        <w:rPr>
          <w:rFonts w:ascii="Verdana" w:cs="Verdana" w:eastAsia="Verdana" w:hAnsi="Verdana"/>
          <w:color w:val="000000"/>
          <w:rtl w:val="0"/>
        </w:rPr>
        <w:t xml:space="preserve">Norme per la definizione dei percorsi di orientamento all'istruzione universitaria e all'alta formazione artistica, musicale e coreutica, per il raccordo tra la scuola, le universita' e le istituzioni dell'alta formazione artistica, musicale e coreutica, nonche' per la valorizzazione della qualita' dei risultati scolastici degli studenti ai fini dell'ammissione ai corsi di laurea universitari ad accesso programmato di cui all'articolo 1 della legge 2 agosto 1999, n. 264, a norma dell'articolo 2, comma 1, lettere a), b) e c) della legge 11 gennaio 2007, n. 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tabs>
          <w:tab w:val="left" w:pos="567"/>
        </w:tabs>
        <w:ind w:left="567" w:hanging="14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Decreto Legislativo 14 gennaio 2008, n. 22  - Definizione dei percorsi di orientamento finalizzati alle professioni e al lavoro, a norma dell'articolo 2, comma 1, della legge 11 gennaio 2007, n. 1;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tabs>
          <w:tab w:val="left" w:pos="567"/>
        </w:tabs>
        <w:ind w:left="567" w:hanging="141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C.M. 15 aprile 2009 n. 43 (Linee Guida in materia di orientamento lungo tutto l’arco della vita);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tabs>
          <w:tab w:val="left" w:pos="540"/>
          <w:tab w:val="left" w:pos="900"/>
        </w:tabs>
        <w:ind w:left="540" w:hanging="1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D.P.R. 15 marzo 2010 n. 89 – Regolamento recante “Revisione dell’assetto ordinamentale, organizzativo e didattico dei licei”;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tabs>
          <w:tab w:val="left" w:pos="540"/>
          <w:tab w:val="left" w:pos="900"/>
        </w:tabs>
        <w:ind w:left="540" w:hanging="1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D.I. 7 ottobre 2010 n. 211 – Schema di Regolamento recante Indicazioni Nazionali riguardanti gli obiettivi specifici di apprendimento concernenti le attività e gli insegnamenti compresi nei piani di studio previsti per i percorsi liceali.</w:t>
      </w:r>
    </w:p>
    <w:p w:rsidR="00000000" w:rsidDel="00000000" w:rsidP="00000000" w:rsidRDefault="00000000" w:rsidRPr="00000000" w14:paraId="000000E2">
      <w:pPr>
        <w:tabs>
          <w:tab w:val="left" w:pos="900"/>
        </w:tabs>
        <w:ind w:left="902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900"/>
        </w:tabs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Per il PECUP (Profilo Educativo, Culturale e Professionale dello studente) al termine del ciclo di studi si rimanda all’allegato A al D.P.R. 15 marzo 2010 n. 89.</w:t>
      </w:r>
    </w:p>
    <w:p w:rsidR="00000000" w:rsidDel="00000000" w:rsidP="00000000" w:rsidRDefault="00000000" w:rsidRPr="00000000" w14:paraId="000000E4">
      <w:pPr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2. </w:t>
        <w:tab/>
        <w:t xml:space="preserve">Competenze chiave di cittadinanza e discipline che le perseguono</w:t>
      </w:r>
    </w:p>
    <w:p w:rsidR="00000000" w:rsidDel="00000000" w:rsidP="00000000" w:rsidRDefault="00000000" w:rsidRPr="00000000" w14:paraId="000000E6">
      <w:pPr>
        <w:tabs>
          <w:tab w:val="left" w:pos="540"/>
        </w:tabs>
        <w:ind w:left="-180" w:hanging="36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7.0" w:type="dxa"/>
        <w:jc w:val="left"/>
        <w:tblInd w:w="0.0" w:type="dxa"/>
        <w:tblLayout w:type="fixed"/>
        <w:tblLook w:val="0000"/>
      </w:tblPr>
      <w:tblGrid>
        <w:gridCol w:w="5362"/>
        <w:gridCol w:w="4275"/>
        <w:tblGridChange w:id="0">
          <w:tblGrid>
            <w:gridCol w:w="5362"/>
            <w:gridCol w:w="42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Competenze chiave di cittadinanza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Discipline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Imparare ad imparare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Progettare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Comunicare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Collaborare e partecipare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Agire in modo autonomo e responsabile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Risolvere problemi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Individuare collegamenti e relazioni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tabs>
                <w:tab w:val="left" w:pos="900"/>
              </w:tabs>
              <w:jc w:val="left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Acquisire ed interpretare l’informazione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tabs>
                <w:tab w:val="left" w:pos="900"/>
              </w:tabs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3.</w:t>
        <w:tab/>
        <w:t xml:space="preserve">Indicazioni: valori, criteri metodologici, esperienze fondamentali e passi più rilevanti del cammino proposto dalla scuola per perseguire le mete previste dal PECUP (Profilo Educativo, Culturale e Professionale dello studente) </w:t>
      </w: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nel secondo biennio e nell’ultimo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FE">
      <w:pPr>
        <w:tabs>
          <w:tab w:val="left" w:pos="540"/>
        </w:tabs>
        <w:ind w:left="540" w:hanging="108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left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pos="540"/>
        </w:tabs>
        <w:ind w:left="538" w:hanging="1077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4. </w:t>
        <w:tab/>
        <w:t xml:space="preserve">Competenze e conoscenze, distinte per disciplina e per anno, perseguite nel secondo biennio e ultimo anno</w:t>
      </w:r>
    </w:p>
    <w:p w:rsidR="00000000" w:rsidDel="00000000" w:rsidP="00000000" w:rsidRDefault="00000000" w:rsidRPr="00000000" w14:paraId="00000101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</w:p>
    <w:p w:rsidR="00000000" w:rsidDel="00000000" w:rsidP="00000000" w:rsidRDefault="00000000" w:rsidRPr="00000000" w14:paraId="00000102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0" w:type="dxa"/>
        <w:jc w:val="left"/>
        <w:tblInd w:w="0.0" w:type="dxa"/>
        <w:tblLayout w:type="fixed"/>
        <w:tblLook w:val="0000"/>
      </w:tblPr>
      <w:tblGrid>
        <w:gridCol w:w="2193"/>
        <w:gridCol w:w="1491"/>
        <w:gridCol w:w="892"/>
        <w:gridCol w:w="3429"/>
        <w:gridCol w:w="1633"/>
        <w:tblGridChange w:id="0">
          <w:tblGrid>
            <w:gridCol w:w="2193"/>
            <w:gridCol w:w="1491"/>
            <w:gridCol w:w="892"/>
            <w:gridCol w:w="3429"/>
            <w:gridCol w:w="163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Competenze di riferimento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Saperi essenziali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Compiti di realtà</w:t>
            </w:r>
          </w:p>
        </w:tc>
      </w:tr>
      <w:tr>
        <w:trPr>
          <w:trHeight w:val="878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87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87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widowControl w:val="0"/>
              <w:tabs>
                <w:tab w:val="left" w:pos="90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tabs>
                <w:tab w:val="left" w:pos="900"/>
              </w:tabs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E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5.</w:t>
        <w:tab/>
        <w:t xml:space="preserve">Insegnamento di Educazione civica nel secondo biennio e nell’ultimo anno</w:t>
      </w:r>
    </w:p>
    <w:p w:rsidR="00000000" w:rsidDel="00000000" w:rsidP="00000000" w:rsidRDefault="00000000" w:rsidRPr="00000000" w14:paraId="00000122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6. </w:t>
        <w:tab/>
        <w:t xml:space="preserve">Eventuali specifiche relative all’attuazione della Didattica Digitale Integrata</w:t>
      </w:r>
    </w:p>
    <w:p w:rsidR="00000000" w:rsidDel="00000000" w:rsidP="00000000" w:rsidRDefault="00000000" w:rsidRPr="00000000" w14:paraId="00000124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left" w:pos="284"/>
        </w:tabs>
        <w:ind w:left="426" w:hanging="966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7.     Unità di Apprendimento e/o percorsi integrati tra materie prevalenti e concorrenti dello stesso asse oppure tra assi differenti, da proporre ai CdC :</w:t>
      </w:r>
    </w:p>
    <w:p w:rsidR="00000000" w:rsidDel="00000000" w:rsidP="00000000" w:rsidRDefault="00000000" w:rsidRPr="00000000" w14:paraId="00000127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</w:r>
    </w:p>
    <w:p w:rsidR="00000000" w:rsidDel="00000000" w:rsidP="00000000" w:rsidRDefault="00000000" w:rsidRPr="00000000" w14:paraId="00000128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left" w:pos="540"/>
        </w:tabs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8. </w:t>
        <w:tab/>
        <w:t xml:space="preserve">Strumenti di valutazione</w:t>
      </w:r>
    </w:p>
    <w:p w:rsidR="00000000" w:rsidDel="00000000" w:rsidP="00000000" w:rsidRDefault="00000000" w:rsidRPr="00000000" w14:paraId="0000012C">
      <w:pPr>
        <w:tabs>
          <w:tab w:val="left" w:pos="108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pos="1080"/>
        </w:tabs>
        <w:ind w:left="540" w:hanging="108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(test d’ingresso di asse, prove interdisciplinari, verifiche al termine delle UdA, prove di competenza, prove disciplinari, prodotti degli studenti individuali o di gruppo, altro)</w:t>
      </w:r>
    </w:p>
    <w:p w:rsidR="00000000" w:rsidDel="00000000" w:rsidP="00000000" w:rsidRDefault="00000000" w:rsidRPr="00000000" w14:paraId="0000012E">
      <w:pPr>
        <w:tabs>
          <w:tab w:val="left" w:pos="1080"/>
        </w:tabs>
        <w:ind w:left="540" w:hanging="108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pos="1080"/>
        </w:tabs>
        <w:ind w:left="540" w:hanging="1080"/>
        <w:rPr/>
      </w:pPr>
      <w:r w:rsidDel="00000000" w:rsidR="00000000" w:rsidRPr="00000000">
        <w:rPr>
          <w:rtl w:val="0"/>
        </w:rPr>
        <w:t xml:space="preserve">                  ……………………………………….</w:t>
      </w:r>
    </w:p>
    <w:p w:rsidR="00000000" w:rsidDel="00000000" w:rsidP="00000000" w:rsidRDefault="00000000" w:rsidRPr="00000000" w14:paraId="00000130">
      <w:pPr>
        <w:tabs>
          <w:tab w:val="left" w:pos="1080"/>
        </w:tabs>
        <w:ind w:left="540" w:hanging="10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pos="1080"/>
        </w:tabs>
        <w:ind w:left="540" w:hanging="10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Le griglie di valutazione sono allegate alla presente progettazione.</w:t>
      </w:r>
    </w:p>
    <w:p w:rsidR="00000000" w:rsidDel="00000000" w:rsidP="00000000" w:rsidRDefault="00000000" w:rsidRPr="00000000" w14:paraId="00000132">
      <w:pPr>
        <w:tabs>
          <w:tab w:val="left" w:pos="1080"/>
        </w:tabs>
        <w:ind w:left="540" w:hanging="108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540"/>
        </w:tabs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  <w:color w:val="ff000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§ 9.</w:t>
        <w:tab/>
        <w:t xml:space="preserve">Valutazione delle competenze acquisite (rubriche)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tabs>
          <w:tab w:val="left" w:pos="180"/>
        </w:tabs>
        <w:ind w:left="540" w:hanging="90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 xml:space="preserve">Indicatori e descrittori dei livelli di conseguimento delle competenze da utilizzare per le prove di competenza e/o valutazioni finali</w:t>
      </w:r>
    </w:p>
    <w:p w:rsidR="00000000" w:rsidDel="00000000" w:rsidP="00000000" w:rsidRDefault="00000000" w:rsidRPr="00000000" w14:paraId="0000013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4.0" w:type="dxa"/>
        <w:jc w:val="left"/>
        <w:tblInd w:w="0.0" w:type="dxa"/>
        <w:tblLayout w:type="fixed"/>
        <w:tblLook w:val="0000"/>
      </w:tblPr>
      <w:tblGrid>
        <w:gridCol w:w="2099"/>
        <w:gridCol w:w="1694"/>
        <w:gridCol w:w="1849"/>
        <w:gridCol w:w="1848"/>
        <w:gridCol w:w="2364"/>
        <w:tblGridChange w:id="0">
          <w:tblGrid>
            <w:gridCol w:w="2099"/>
            <w:gridCol w:w="1694"/>
            <w:gridCol w:w="1849"/>
            <w:gridCol w:w="1848"/>
            <w:gridCol w:w="2364"/>
          </w:tblGrid>
        </w:tblGridChange>
      </w:tblGrid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Competenze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Indicatori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Descrittori dei livelli e punteggi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jc w:val="left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jc w:val="left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left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pos="540"/>
        </w:tabs>
        <w:ind w:left="540" w:hanging="108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134" w:left="1134" w:right="1134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Calibri"/>
  <w:font w:name="Cambria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7583" y="369237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26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liceopetrarcats.edu.it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scrivici@liceopetrarcats.it" TargetMode="External"/><Relationship Id="rId8" Type="http://schemas.openxmlformats.org/officeDocument/2006/relationships/hyperlink" Target="mailto:tspc02000n@pec.istruzione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